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Должнику: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и должность руководителя]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кредитора: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организации / ИП]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 оплате задолженности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Исх.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</w:p>
    <w:p>
      <w:pPr>
        <w:spacing w:after="0"/>
      </w:pP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кредитора]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Кредитор)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должника]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Должник) заключён договор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[поставки / оказания услуг / подряда]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Договор).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Кредитор исполнил свои обязательства в полном объёме: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[поставил товар / оказал услуги / выполнил работы]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что подтверждается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[УПД / товарными накладными / актами № __ от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подписанными Должником без замечаний.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Договора Должник обязан был произвести оплату в срок до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Оплата произведена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[частично в размере __ руб. / не произведена]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Задолженность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309, 310 ГК РФ обязательства должны исполняться надлежащим образом, односторонний отказ от их исполнения не допускается. За просрочку оплаты п.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Договора предусмотрена неустойка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неоплаченной суммы за каждый день просрочки, что на дату претензии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неустойка в Договоре не предусмотрена — проценты по ст. 395 ГК РФ: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руб.]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ТРЕБУЕМ: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[10]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календарных дней с момента получения настоящей претензии оплатить задолженность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[неустойку / проценты]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а всего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[банк, БИК, р/с, к/с]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течение 30 календарных дней с момента направления претензии Кредитор обратится в Арбитражный суд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[Челябинской области / по договорной подсудности]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иском о взыскании задолженности, неустойки (процентов) по день фактической оплаты, расходов на оплату услуг представителя и госпошлины (ч. 5 ст. 4 АПК РФ).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УПД / накладных / актов.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 неустойки (процентов).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[Акт сверки взаимных расчётов.]</w:t>
      </w:r>
    </w:p>
    <w:p>
      <w:pPr>
        <w:spacing w:after="0"/>
      </w:pP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М. П. (при наличии)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Зачем претензия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споров между организациями и ИП претензионный порядок обязателен: иск можно подать только через 30 календарных дней после направления претензии, если договором не установлен иной срок (ч. 5 ст. 4 АПК РФ).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договор предусматривает особый порядок (адрес, e-mail, срок) — соблюдайте его.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направить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Заказным письмом с описью вложения на юридический адрес из ЕГРЮЛ — это надёжное доказательство для суда.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Дополнительно — по e-mail или через ЭДО, если это предусмотрено договором.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дальше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 750 000 руб. (для организаций) и по бесспорным документам суд может рассмотреть дело в приказном или упрощённом порядке — это быстрее.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Приложите к иску доказательства отправки претензии.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Контрагент не платит? </w:t>
      </w:r>
      <w:r>
        <w:rPr>
          <w:rFonts w:ascii="Arial" w:cs="Arial" w:eastAsia="Arial" w:hAnsi="Arial"/>
          <w:sz w:val="20"/>
          <w:szCs w:val="20"/>
        </w:rPr>
        <w:t xml:space="preserve">Юристы «Центуриона» по арбитражным спорам бесплатно оценят документы и взыщут долг с неустойкой и судебными расходами.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39gbwy9ubnvjcafquktf7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hkr3u5h3kpnuhugxun_l2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bggnheqnxcjeuji3p-y3x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ers76olleqjmbubwxwp0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rfrpqnsofypi0a4lhouc7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v2pmqstj63tnyrml8pzz7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gbwy9ubnvjcafquktf7" Type="http://schemas.openxmlformats.org/officeDocument/2006/relationships/hyperlink" Target="tel:+79227356201" TargetMode="External"/><Relationship Id="rIdhkr3u5h3kpnuhugxun_l2" Type="http://schemas.openxmlformats.org/officeDocument/2006/relationships/hyperlink" Target="https://centurion74.ru" TargetMode="External"/><Relationship Id="rIdbggnheqnxcjeuji3p-y3x" Type="http://schemas.openxmlformats.org/officeDocument/2006/relationships/hyperlink" Target="https://t.me/centturionlaw" TargetMode="External"/><Relationship Id="rIders76olleqjmbubwxwp0p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rfrpqnsofypi0a4lhouc7" Type="http://schemas.openxmlformats.org/officeDocument/2006/relationships/hyperlink" Target="tel:+79227356201" TargetMode="External"/><Relationship Id="rIdv2pmqstj63tnyrml8pzz7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о взыскании задолженности (между организациями и ИП) — образец</dc:title>
  <dc:creator>ЮК «Центурион»</dc:creator>
  <dc:description>Досудебная претензия о взыскании задолженности (между организациями и ИП).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2026-09-25T11:51:37.107Z</dcterms:created>
  <dcterms:modified xsi:type="dcterms:W3CDTF">2026-09-25T11:51:37.107Z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