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276"/>
        <w:ind w:left="5200"/>
      </w:pPr>
      <w:r>
        <w:rPr>
          <w:rFonts w:ascii="Times New Roman" w:cs="Times New Roman" w:eastAsia="Times New Roman" w:hAnsi="Times New Roman"/>
          <w:sz w:val="26"/>
          <w:szCs w:val="26"/>
        </w:rPr>
        <w:t xml:space="preserve">УТВЕРЖДЁН</w:t>
      </w:r>
    </w:p>
    <w:p>
      <w:pPr>
        <w:spacing w:after="0" w:line="276"/>
        <w:ind w:left="5200"/>
      </w:pPr>
      <w:r>
        <w:rPr>
          <w:rFonts w:ascii="Times New Roman" w:cs="Times New Roman" w:eastAsia="Times New Roman" w:hAnsi="Times New Roman"/>
          <w:sz w:val="26"/>
          <w:szCs w:val="26"/>
        </w:rPr>
        <w:t xml:space="preserve">решением общего собрания членов</w:t>
      </w:r>
    </w:p>
    <w:p>
      <w:pPr>
        <w:spacing w:after="0" w:line="276"/>
        <w:ind w:left="5200"/>
      </w:pPr>
      <w:r>
        <w:rPr>
          <w:rFonts w:ascii="Times New Roman" w:cs="Times New Roman" w:eastAsia="Times New Roman" w:hAnsi="Times New Roman"/>
          <w:sz w:val="26"/>
          <w:szCs w:val="26"/>
        </w:rPr>
        <w:t xml:space="preserve">СНТ «</w:t>
      </w:r>
      <w:r>
        <w:rPr>
          <w:rFonts w:ascii="Times New Roman" w:cs="Times New Roman" w:eastAsia="Times New Roman" w:hAnsi="Times New Roman"/>
          <w:sz w:val="26"/>
          <w:szCs w:val="26"/>
          <w:highlight w:val="yellow"/>
        </w:rPr>
        <w:t xml:space="preserve">[наименование]</w:t>
      </w:r>
      <w:r>
        <w:rPr>
          <w:rFonts w:ascii="Times New Roman" w:cs="Times New Roman" w:eastAsia="Times New Roman" w:hAnsi="Times New Roman"/>
          <w:sz w:val="26"/>
          <w:szCs w:val="26"/>
        </w:rPr>
        <w:t xml:space="preserve">»</w:t>
      </w:r>
    </w:p>
    <w:p>
      <w:pPr>
        <w:spacing w:after="0" w:line="276"/>
        <w:ind w:left="5200"/>
      </w:pPr>
      <w:r>
        <w:rPr>
          <w:rFonts w:ascii="Times New Roman" w:cs="Times New Roman" w:eastAsia="Times New Roman" w:hAnsi="Times New Roman"/>
          <w:sz w:val="26"/>
          <w:szCs w:val="26"/>
        </w:rPr>
        <w:t xml:space="preserve">протокол № </w:t>
      </w:r>
      <w:r>
        <w:rPr>
          <w:rFonts w:ascii="Times New Roman" w:cs="Times New Roman" w:eastAsia="Times New Roman" w:hAnsi="Times New Roman"/>
          <w:sz w:val="26"/>
          <w:szCs w:val="26"/>
          <w:highlight w:val="yellow"/>
        </w:rPr>
        <w:t xml:space="preserve">[__]</w:t>
      </w:r>
      <w:r>
        <w:rPr>
          <w:rFonts w:ascii="Times New Roman" w:cs="Times New Roman" w:eastAsia="Times New Roman" w:hAnsi="Times New Roman"/>
          <w:sz w:val="26"/>
          <w:szCs w:val="26"/>
        </w:rPr>
        <w:t xml:space="preserve"> от </w:t>
      </w:r>
      <w:r>
        <w:rPr>
          <w:rFonts w:ascii="Times New Roman" w:cs="Times New Roman" w:eastAsia="Times New Roman" w:hAnsi="Times New Roman"/>
          <w:sz w:val="26"/>
          <w:szCs w:val="26"/>
          <w:highlight w:val="yellow"/>
        </w:rPr>
        <w:t xml:space="preserve">[ДД.ММ.ГГГГ]</w:t>
      </w:r>
    </w:p>
    <w:p>
      <w:pPr>
        <w:spacing w:after="40" w:before="280"/>
        <w:jc w:val="center"/>
      </w:pPr>
      <w:r>
        <w:rPr>
          <w:rFonts w:ascii="Times New Roman" w:cs="Times New Roman" w:eastAsia="Times New Roman" w:hAnsi="Times New Roman"/>
          <w:b/>
          <w:bCs/>
          <w:sz w:val="28"/>
          <w:szCs w:val="28"/>
        </w:rPr>
        <w:t xml:space="preserve">УСТАВ</w:t>
      </w:r>
    </w:p>
    <w:p>
      <w:pPr>
        <w:spacing w:after="240"/>
        <w:jc w:val="center"/>
      </w:pPr>
      <w:r>
        <w:rPr>
          <w:rFonts w:ascii="Times New Roman" w:cs="Times New Roman" w:eastAsia="Times New Roman" w:hAnsi="Times New Roman"/>
          <w:b/>
          <w:bCs/>
          <w:sz w:val="26"/>
          <w:szCs w:val="26"/>
        </w:rPr>
        <w:t xml:space="preserve">садоводческого некоммерческого товарищества «</w:t>
      </w:r>
      <w:r>
        <w:rPr>
          <w:rFonts w:ascii="Times New Roman" w:cs="Times New Roman" w:eastAsia="Times New Roman" w:hAnsi="Times New Roman"/>
          <w:b/>
          <w:bCs/>
          <w:sz w:val="26"/>
          <w:szCs w:val="26"/>
          <w:highlight w:val="yellow"/>
        </w:rPr>
        <w:t xml:space="preserve">[наименование]</w:t>
      </w:r>
      <w:r>
        <w:rPr>
          <w:rFonts w:ascii="Times New Roman" w:cs="Times New Roman" w:eastAsia="Times New Roman" w:hAnsi="Times New Roman"/>
          <w:b/>
          <w:bCs/>
          <w:sz w:val="26"/>
          <w:szCs w:val="26"/>
        </w:rPr>
        <w:t xml:space="preserve">»</w:t>
      </w:r>
    </w:p>
    <w:p>
      <w:pPr>
        <w:spacing w:after="240"/>
        <w:jc w:val="center"/>
      </w:pPr>
      <w:r>
        <w:rPr>
          <w:rFonts w:ascii="Times New Roman" w:cs="Times New Roman" w:eastAsia="Times New Roman" w:hAnsi="Times New Roman"/>
          <w:sz w:val="26"/>
          <w:szCs w:val="26"/>
        </w:rPr>
        <w:t xml:space="preserve">г. Челябинск, </w:t>
      </w:r>
      <w:r>
        <w:rPr>
          <w:rFonts w:ascii="Times New Roman" w:cs="Times New Roman" w:eastAsia="Times New Roman" w:hAnsi="Times New Roman"/>
          <w:sz w:val="26"/>
          <w:szCs w:val="26"/>
          <w:highlight w:val="yellow"/>
        </w:rPr>
        <w:t xml:space="preserve">[год]</w:t>
      </w:r>
    </w:p>
    <w:p>
      <w:pPr>
        <w:keepNext/>
        <w:spacing w:after="100" w:before="200"/>
        <w:jc w:val="center"/>
      </w:pPr>
      <w:r>
        <w:rPr>
          <w:rFonts w:ascii="Times New Roman" w:cs="Times New Roman" w:eastAsia="Times New Roman" w:hAnsi="Times New Roman"/>
          <w:b/>
          <w:bCs/>
          <w:sz w:val="26"/>
          <w:szCs w:val="26"/>
        </w:rPr>
        <w:t xml:space="preserve">1. Общие положения</w:t>
      </w:r>
    </w:p>
    <w:p>
      <w:pPr>
        <w:spacing w:after="40" w:line="288"/>
        <w:jc w:val="both"/>
      </w:pPr>
      <w:r>
        <w:rPr>
          <w:rFonts w:ascii="Times New Roman" w:cs="Times New Roman" w:eastAsia="Times New Roman" w:hAnsi="Times New Roman"/>
          <w:sz w:val="26"/>
          <w:szCs w:val="26"/>
        </w:rPr>
        <w:t xml:space="preserve">1.1. Садоводческое некоммерческое товарищество «</w:t>
      </w:r>
      <w:r>
        <w:rPr>
          <w:rFonts w:ascii="Times New Roman" w:cs="Times New Roman" w:eastAsia="Times New Roman" w:hAnsi="Times New Roman"/>
          <w:sz w:val="26"/>
          <w:szCs w:val="26"/>
          <w:highlight w:val="yellow"/>
        </w:rPr>
        <w:t xml:space="preserve">[наименование]</w:t>
      </w:r>
      <w:r>
        <w:rPr>
          <w:rFonts w:ascii="Times New Roman" w:cs="Times New Roman" w:eastAsia="Times New Roman" w:hAnsi="Times New Roman"/>
          <w:sz w:val="26"/>
          <w:szCs w:val="26"/>
        </w:rPr>
        <w:t xml:space="preserve">» (далее — Товарищество) — добровольное объединение граждан, созданное ими в соответствии с Федеральным законом от 29.07.2017 № 217-ФЗ «О ведении гражданами садоводства и огородничества для собственных нужд…» (далее — Закон № 217-ФЗ) для совместного владения, пользования и в установленных законом пределах распоряжения имуществом общего пользования.</w:t>
      </w:r>
    </w:p>
    <w:p>
      <w:pPr>
        <w:spacing w:after="40" w:line="288"/>
        <w:jc w:val="both"/>
      </w:pPr>
      <w:r>
        <w:rPr>
          <w:rFonts w:ascii="Times New Roman" w:cs="Times New Roman" w:eastAsia="Times New Roman" w:hAnsi="Times New Roman"/>
          <w:sz w:val="26"/>
          <w:szCs w:val="26"/>
        </w:rPr>
        <w:t xml:space="preserve">1.2. Полное наименование: садоводческое некоммерческое товарищество «</w:t>
      </w:r>
      <w:r>
        <w:rPr>
          <w:rFonts w:ascii="Times New Roman" w:cs="Times New Roman" w:eastAsia="Times New Roman" w:hAnsi="Times New Roman"/>
          <w:sz w:val="26"/>
          <w:szCs w:val="26"/>
          <w:highlight w:val="yellow"/>
        </w:rPr>
        <w:t xml:space="preserve">[наименование]</w:t>
      </w:r>
      <w:r>
        <w:rPr>
          <w:rFonts w:ascii="Times New Roman" w:cs="Times New Roman" w:eastAsia="Times New Roman" w:hAnsi="Times New Roman"/>
          <w:sz w:val="26"/>
          <w:szCs w:val="26"/>
        </w:rPr>
        <w:t xml:space="preserve">». Сокращённое наименование: СНТ «</w:t>
      </w:r>
      <w:r>
        <w:rPr>
          <w:rFonts w:ascii="Times New Roman" w:cs="Times New Roman" w:eastAsia="Times New Roman" w:hAnsi="Times New Roman"/>
          <w:sz w:val="26"/>
          <w:szCs w:val="26"/>
          <w:highlight w:val="yellow"/>
        </w:rPr>
        <w:t xml:space="preserve">[наименование]</w:t>
      </w:r>
      <w:r>
        <w:rPr>
          <w:rFonts w:ascii="Times New Roman" w:cs="Times New Roman" w:eastAsia="Times New Roman" w:hAnsi="Times New Roman"/>
          <w:sz w:val="26"/>
          <w:szCs w:val="26"/>
        </w:rPr>
        <w:t xml:space="preserve">».</w:t>
      </w:r>
    </w:p>
    <w:p>
      <w:pPr>
        <w:spacing w:after="40" w:line="288"/>
        <w:jc w:val="both"/>
      </w:pPr>
      <w:r>
        <w:rPr>
          <w:rFonts w:ascii="Times New Roman" w:cs="Times New Roman" w:eastAsia="Times New Roman" w:hAnsi="Times New Roman"/>
          <w:sz w:val="26"/>
          <w:szCs w:val="26"/>
        </w:rPr>
        <w:t xml:space="preserve">1.3. Место нахождения Товарищества: </w:t>
      </w:r>
      <w:r>
        <w:rPr>
          <w:rFonts w:ascii="Times New Roman" w:cs="Times New Roman" w:eastAsia="Times New Roman" w:hAnsi="Times New Roman"/>
          <w:sz w:val="26"/>
          <w:szCs w:val="26"/>
          <w:highlight w:val="yellow"/>
        </w:rPr>
        <w:t xml:space="preserve">[Челябинская область, __ район / г. Челябинск]</w:t>
      </w:r>
      <w:r>
        <w:rPr>
          <w:rFonts w:ascii="Times New Roman" w:cs="Times New Roman" w:eastAsia="Times New Roman" w:hAnsi="Times New Roman"/>
          <w:sz w:val="26"/>
          <w:szCs w:val="26"/>
        </w:rPr>
        <w:t xml:space="preserve">. Территория садоводства: </w:t>
      </w:r>
      <w:r>
        <w:rPr>
          <w:rFonts w:ascii="Times New Roman" w:cs="Times New Roman" w:eastAsia="Times New Roman" w:hAnsi="Times New Roman"/>
          <w:sz w:val="26"/>
          <w:szCs w:val="26"/>
          <w:highlight w:val="yellow"/>
        </w:rPr>
        <w:t xml:space="preserve">[описание / кадастровый квартал __]</w:t>
      </w:r>
      <w:r>
        <w:rPr>
          <w:rFonts w:ascii="Times New Roman" w:cs="Times New Roman" w:eastAsia="Times New Roman" w:hAnsi="Times New Roman"/>
          <w:sz w:val="26"/>
          <w:szCs w:val="26"/>
        </w:rPr>
        <w:t xml:space="preserve">.</w:t>
      </w:r>
    </w:p>
    <w:p>
      <w:pPr>
        <w:spacing w:after="40" w:line="288"/>
        <w:jc w:val="both"/>
      </w:pPr>
      <w:r>
        <w:rPr>
          <w:rFonts w:ascii="Times New Roman" w:cs="Times New Roman" w:eastAsia="Times New Roman" w:hAnsi="Times New Roman"/>
          <w:sz w:val="26"/>
          <w:szCs w:val="26"/>
        </w:rPr>
        <w:t xml:space="preserve">1.4. Товарищество является юридическим лицом, вида товарищества собственников недвижимости, имеет печать </w:t>
      </w:r>
      <w:r>
        <w:rPr>
          <w:rFonts w:ascii="Times New Roman" w:cs="Times New Roman" w:eastAsia="Times New Roman" w:hAnsi="Times New Roman"/>
          <w:sz w:val="26"/>
          <w:szCs w:val="26"/>
          <w:highlight w:val="yellow"/>
        </w:rPr>
        <w:t xml:space="preserve">[при наличии]</w:t>
      </w:r>
      <w:r>
        <w:rPr>
          <w:rFonts w:ascii="Times New Roman" w:cs="Times New Roman" w:eastAsia="Times New Roman" w:hAnsi="Times New Roman"/>
          <w:sz w:val="26"/>
          <w:szCs w:val="26"/>
        </w:rPr>
        <w:t xml:space="preserve">, расчётный счёт, может от своего имени приобретать и осуществлять права, нести обязанности, быть истцом и ответчиком в суде.</w:t>
      </w:r>
    </w:p>
    <w:p>
      <w:pPr>
        <w:spacing w:after="40" w:line="288"/>
        <w:jc w:val="both"/>
      </w:pPr>
      <w:r>
        <w:rPr>
          <w:rFonts w:ascii="Times New Roman" w:cs="Times New Roman" w:eastAsia="Times New Roman" w:hAnsi="Times New Roman"/>
          <w:sz w:val="26"/>
          <w:szCs w:val="26"/>
        </w:rPr>
        <w:t xml:space="preserve">1.5. Товарищество создаётся без ограничения срока деятельности.</w:t>
      </w:r>
    </w:p>
    <w:p>
      <w:pPr>
        <w:keepNext/>
        <w:spacing w:after="100" w:before="200"/>
        <w:jc w:val="center"/>
      </w:pPr>
      <w:r>
        <w:rPr>
          <w:rFonts w:ascii="Times New Roman" w:cs="Times New Roman" w:eastAsia="Times New Roman" w:hAnsi="Times New Roman"/>
          <w:b/>
          <w:bCs/>
          <w:sz w:val="26"/>
          <w:szCs w:val="26"/>
        </w:rPr>
        <w:t xml:space="preserve">2. Предмет и цели деятельности</w:t>
      </w:r>
    </w:p>
    <w:p>
      <w:pPr>
        <w:spacing w:after="40" w:line="288"/>
        <w:jc w:val="both"/>
      </w:pPr>
      <w:r>
        <w:rPr>
          <w:rFonts w:ascii="Times New Roman" w:cs="Times New Roman" w:eastAsia="Times New Roman" w:hAnsi="Times New Roman"/>
          <w:sz w:val="26"/>
          <w:szCs w:val="26"/>
        </w:rPr>
        <w:t xml:space="preserve">2.1. Товарищество создаётся в целях: создания благоприятных условий для ведения гражданами садоводства (обеспечение тепловой и электрической энергией, водой, газом, водоотведением, обращение с ТКО, благоустройство и охрана территории, обеспечение пожарной безопасности); содействия членам Товарищества в освоении земельных участков; содействия гражданам в охране окружающей среды.</w:t>
      </w:r>
    </w:p>
    <w:p>
      <w:pPr>
        <w:spacing w:after="40" w:line="288"/>
        <w:jc w:val="both"/>
      </w:pPr>
      <w:r>
        <w:rPr>
          <w:rFonts w:ascii="Times New Roman" w:cs="Times New Roman" w:eastAsia="Times New Roman" w:hAnsi="Times New Roman"/>
          <w:sz w:val="26"/>
          <w:szCs w:val="26"/>
        </w:rPr>
        <w:t xml:space="preserve">2.2. Предметом деятельности Товарищества является управление имуществом общего пользования в границах территории садоводства.</w:t>
      </w:r>
    </w:p>
    <w:p>
      <w:pPr>
        <w:spacing w:after="40" w:line="288"/>
        <w:jc w:val="both"/>
      </w:pPr>
      <w:r>
        <w:rPr>
          <w:rFonts w:ascii="Times New Roman" w:cs="Times New Roman" w:eastAsia="Times New Roman" w:hAnsi="Times New Roman"/>
          <w:sz w:val="26"/>
          <w:szCs w:val="26"/>
        </w:rPr>
        <w:t xml:space="preserve">2.3. Товарищество вправе осуществлять приносящую доход деятельность, соответствующую целям его создания, в пределах, установленных законом.</w:t>
      </w:r>
    </w:p>
    <w:p>
      <w:pPr>
        <w:keepNext/>
        <w:spacing w:after="100" w:before="200"/>
        <w:jc w:val="center"/>
      </w:pPr>
      <w:r>
        <w:rPr>
          <w:rFonts w:ascii="Times New Roman" w:cs="Times New Roman" w:eastAsia="Times New Roman" w:hAnsi="Times New Roman"/>
          <w:b/>
          <w:bCs/>
          <w:sz w:val="26"/>
          <w:szCs w:val="26"/>
        </w:rPr>
        <w:t xml:space="preserve">3. Членство в Товариществе</w:t>
      </w:r>
    </w:p>
    <w:p>
      <w:pPr>
        <w:spacing w:after="40" w:line="288"/>
        <w:jc w:val="both"/>
      </w:pPr>
      <w:r>
        <w:rPr>
          <w:rFonts w:ascii="Times New Roman" w:cs="Times New Roman" w:eastAsia="Times New Roman" w:hAnsi="Times New Roman"/>
          <w:sz w:val="26"/>
          <w:szCs w:val="26"/>
        </w:rPr>
        <w:t xml:space="preserve">3.1. Членами Товарищества могут являться исключительно физические лица — правообладатели садовых земельных участков, расположенных в границах территории садоводства.</w:t>
      </w:r>
    </w:p>
    <w:p>
      <w:pPr>
        <w:spacing w:after="40" w:line="288"/>
        <w:jc w:val="both"/>
      </w:pPr>
      <w:r>
        <w:rPr>
          <w:rFonts w:ascii="Times New Roman" w:cs="Times New Roman" w:eastAsia="Times New Roman" w:hAnsi="Times New Roman"/>
          <w:sz w:val="26"/>
          <w:szCs w:val="26"/>
        </w:rPr>
        <w:t xml:space="preserve">3.2. Принятие в члены Товарищества осуществляется на основании заявления правообладателя садового земельного участка, которое подаётся в правление Товарищества для вынесения на рассмотрение общего собрания членов. К заявлению прилагаются копии документов о правах на земельный участок.</w:t>
      </w:r>
    </w:p>
    <w:p>
      <w:pPr>
        <w:spacing w:after="40" w:line="288"/>
        <w:jc w:val="both"/>
      </w:pPr>
      <w:r>
        <w:rPr>
          <w:rFonts w:ascii="Times New Roman" w:cs="Times New Roman" w:eastAsia="Times New Roman" w:hAnsi="Times New Roman"/>
          <w:sz w:val="26"/>
          <w:szCs w:val="26"/>
        </w:rPr>
        <w:t xml:space="preserve">3.3. В заявлении указываются: ФИО, адрес места жительства, почтовый адрес и (или) адрес электронной почты, номер телефона, согласие на соблюдение требований Устава, кадастровый номер земельного участка (ч. 5 ст. 12 Закона № 217-ФЗ).</w:t>
      </w:r>
    </w:p>
    <w:p>
      <w:pPr>
        <w:spacing w:after="40" w:line="288"/>
        <w:jc w:val="both"/>
      </w:pPr>
      <w:r>
        <w:rPr>
          <w:rFonts w:ascii="Times New Roman" w:cs="Times New Roman" w:eastAsia="Times New Roman" w:hAnsi="Times New Roman"/>
          <w:sz w:val="26"/>
          <w:szCs w:val="26"/>
        </w:rPr>
        <w:t xml:space="preserve">3.4. Днём приёма в члены является день принятия соответствующего решения общим собранием. Каждому члену в течение трёх месяцев со дня приёма выдаётся членская книжка или иной документ, подтверждающий членство.</w:t>
      </w:r>
    </w:p>
    <w:p>
      <w:pPr>
        <w:spacing w:after="40" w:line="288"/>
        <w:jc w:val="both"/>
      </w:pPr>
      <w:r>
        <w:rPr>
          <w:rFonts w:ascii="Times New Roman" w:cs="Times New Roman" w:eastAsia="Times New Roman" w:hAnsi="Times New Roman"/>
          <w:sz w:val="26"/>
          <w:szCs w:val="26"/>
        </w:rPr>
        <w:t xml:space="preserve">3.5. Членство прекращается добровольно (выход) — со дня подачи заявления; принудительно (исключение) — по решению общего собрания в связи с неуплатой взносов в течение более двух месяцев с момента возникновения обязанности (ч. 4 ст. 13 Закона № 217-ФЗ) с соблюдением порядка предупреждения; в связи с прекращением прав на участок или смертью члена.</w:t>
      </w:r>
    </w:p>
    <w:p>
      <w:pPr>
        <w:spacing w:after="40" w:line="288"/>
        <w:jc w:val="both"/>
      </w:pPr>
      <w:r>
        <w:rPr>
          <w:rFonts w:ascii="Times New Roman" w:cs="Times New Roman" w:eastAsia="Times New Roman" w:hAnsi="Times New Roman"/>
          <w:sz w:val="26"/>
          <w:szCs w:val="26"/>
        </w:rPr>
        <w:t xml:space="preserve">3.6. Председатель не позднее чем за месяц до дня проведения общего собрания, на котором планируется рассмотреть вопрос об исключении, направляет члену предупреждение о недопустимости неисполнения обязанности по уплате взносов.</w:t>
      </w:r>
    </w:p>
    <w:p>
      <w:pPr>
        <w:keepNext/>
        <w:spacing w:after="100" w:before="200"/>
        <w:jc w:val="center"/>
      </w:pPr>
      <w:r>
        <w:rPr>
          <w:rFonts w:ascii="Times New Roman" w:cs="Times New Roman" w:eastAsia="Times New Roman" w:hAnsi="Times New Roman"/>
          <w:b/>
          <w:bCs/>
          <w:sz w:val="26"/>
          <w:szCs w:val="26"/>
        </w:rPr>
        <w:t xml:space="preserve">4. Права и обязанности членов Товарищества</w:t>
      </w:r>
    </w:p>
    <w:p>
      <w:pPr>
        <w:spacing w:after="40" w:line="288"/>
        <w:jc w:val="both"/>
      </w:pPr>
      <w:r>
        <w:rPr>
          <w:rFonts w:ascii="Times New Roman" w:cs="Times New Roman" w:eastAsia="Times New Roman" w:hAnsi="Times New Roman"/>
          <w:sz w:val="26"/>
          <w:szCs w:val="26"/>
        </w:rPr>
        <w:t xml:space="preserve">4.1. Члены Товарищества имеют право: получать информацию о деятельности органов Товарищества и знакомиться с бухгалтерской (финансовой) отчётностью, приходно-расходной сметой, отчётами о её исполнении; участвовать в управлении делами Товарищества; добровольно прекратить членство; обжаловать решения органов Товарищества; получать за плату, не превышающую затрат на изготовление, заверенные копии документов, указанных в ч. 3 ст. 11 Закона № 217-ФЗ; подавать в органы Товарищества заявления (обращения, жалобы).</w:t>
      </w:r>
    </w:p>
    <w:p>
      <w:pPr>
        <w:spacing w:after="40" w:line="288"/>
        <w:jc w:val="both"/>
      </w:pPr>
      <w:r>
        <w:rPr>
          <w:rFonts w:ascii="Times New Roman" w:cs="Times New Roman" w:eastAsia="Times New Roman" w:hAnsi="Times New Roman"/>
          <w:sz w:val="26"/>
          <w:szCs w:val="26"/>
        </w:rPr>
        <w:t xml:space="preserve">4.2. Члены Товарищества обязаны: не нарушать права членов и лиц, ведущих садоводство без участия в Товариществе; своевременно уплачивать взносы; исполнять решения общего собрания; соблюдать иные обязанности, установленные законодательством и Уставом.</w:t>
      </w:r>
    </w:p>
    <w:p>
      <w:pPr>
        <w:spacing w:after="40" w:line="288"/>
        <w:jc w:val="both"/>
      </w:pPr>
      <w:r>
        <w:rPr>
          <w:rFonts w:ascii="Times New Roman" w:cs="Times New Roman" w:eastAsia="Times New Roman" w:hAnsi="Times New Roman"/>
          <w:sz w:val="26"/>
          <w:szCs w:val="26"/>
        </w:rPr>
        <w:t xml:space="preserve">4.3. Член Товарищества обязан сообщить в правление об изменении своих данных для реестра членов в течение </w:t>
      </w:r>
      <w:r>
        <w:rPr>
          <w:rFonts w:ascii="Times New Roman" w:cs="Times New Roman" w:eastAsia="Times New Roman" w:hAnsi="Times New Roman"/>
          <w:sz w:val="26"/>
          <w:szCs w:val="26"/>
          <w:highlight w:val="yellow"/>
        </w:rPr>
        <w:t xml:space="preserve">[10]</w:t>
      </w:r>
      <w:r>
        <w:rPr>
          <w:rFonts w:ascii="Times New Roman" w:cs="Times New Roman" w:eastAsia="Times New Roman" w:hAnsi="Times New Roman"/>
          <w:sz w:val="26"/>
          <w:szCs w:val="26"/>
        </w:rPr>
        <w:t xml:space="preserve"> дней.</w:t>
      </w:r>
    </w:p>
    <w:p>
      <w:pPr>
        <w:keepNext/>
        <w:spacing w:after="100" w:before="200"/>
        <w:jc w:val="center"/>
      </w:pPr>
      <w:r>
        <w:rPr>
          <w:rFonts w:ascii="Times New Roman" w:cs="Times New Roman" w:eastAsia="Times New Roman" w:hAnsi="Times New Roman"/>
          <w:b/>
          <w:bCs/>
          <w:sz w:val="26"/>
          <w:szCs w:val="26"/>
        </w:rPr>
        <w:t xml:space="preserve">5. Взносы</w:t>
      </w:r>
    </w:p>
    <w:p>
      <w:pPr>
        <w:spacing w:after="40" w:line="288"/>
        <w:jc w:val="both"/>
      </w:pPr>
      <w:r>
        <w:rPr>
          <w:rFonts w:ascii="Times New Roman" w:cs="Times New Roman" w:eastAsia="Times New Roman" w:hAnsi="Times New Roman"/>
          <w:sz w:val="26"/>
          <w:szCs w:val="26"/>
        </w:rPr>
        <w:t xml:space="preserve">5.1. Взносы членов Товарищества могут быть членскими и целевыми. Взносы вносятся на расчётный счёт Товарищества.</w:t>
      </w:r>
    </w:p>
    <w:p>
      <w:pPr>
        <w:spacing w:after="40" w:line="288"/>
        <w:jc w:val="both"/>
      </w:pPr>
      <w:r>
        <w:rPr>
          <w:rFonts w:ascii="Times New Roman" w:cs="Times New Roman" w:eastAsia="Times New Roman" w:hAnsi="Times New Roman"/>
          <w:sz w:val="26"/>
          <w:szCs w:val="26"/>
        </w:rPr>
        <w:t xml:space="preserve">5.2. Членские взносы вносятся </w:t>
      </w:r>
      <w:r>
        <w:rPr>
          <w:rFonts w:ascii="Times New Roman" w:cs="Times New Roman" w:eastAsia="Times New Roman" w:hAnsi="Times New Roman"/>
          <w:sz w:val="26"/>
          <w:szCs w:val="26"/>
          <w:highlight w:val="yellow"/>
        </w:rPr>
        <w:t xml:space="preserve">[ежегодно / ежемесячно / ежеквартально]</w:t>
      </w:r>
      <w:r>
        <w:rPr>
          <w:rFonts w:ascii="Times New Roman" w:cs="Times New Roman" w:eastAsia="Times New Roman" w:hAnsi="Times New Roman"/>
          <w:sz w:val="26"/>
          <w:szCs w:val="26"/>
        </w:rPr>
        <w:t xml:space="preserve"> в срок до </w:t>
      </w:r>
      <w:r>
        <w:rPr>
          <w:rFonts w:ascii="Times New Roman" w:cs="Times New Roman" w:eastAsia="Times New Roman" w:hAnsi="Times New Roman"/>
          <w:sz w:val="26"/>
          <w:szCs w:val="26"/>
          <w:highlight w:val="yellow"/>
        </w:rPr>
        <w:t xml:space="preserve">[__]</w:t>
      </w:r>
      <w:r>
        <w:rPr>
          <w:rFonts w:ascii="Times New Roman" w:cs="Times New Roman" w:eastAsia="Times New Roman" w:hAnsi="Times New Roman"/>
          <w:sz w:val="26"/>
          <w:szCs w:val="26"/>
        </w:rPr>
        <w:t xml:space="preserve">. Членские взносы используются на расходы, предусмотренные ч. 5 ст. 14 Закона № 217-ФЗ: содержание имущества общего пользования, оплату коммунальных ресурсов на нужды общего пользования, оплату труда работников, благоустройство, охрану, пожарную безопасность, уплату налогов и иные расходы.</w:t>
      </w:r>
    </w:p>
    <w:p>
      <w:pPr>
        <w:spacing w:after="40" w:line="288"/>
        <w:jc w:val="both"/>
      </w:pPr>
      <w:r>
        <w:rPr>
          <w:rFonts w:ascii="Times New Roman" w:cs="Times New Roman" w:eastAsia="Times New Roman" w:hAnsi="Times New Roman"/>
          <w:sz w:val="26"/>
          <w:szCs w:val="26"/>
        </w:rPr>
        <w:t xml:space="preserve">5.3. Целевые взносы вносятся на расчётный счёт по решению общего собрания, определяющего их размер и срок внесения, на цели, предусмотренные ч. 6 ст. 14 Закона № 217-ФЗ.</w:t>
      </w:r>
    </w:p>
    <w:p>
      <w:pPr>
        <w:spacing w:after="40" w:line="288"/>
        <w:jc w:val="both"/>
      </w:pPr>
      <w:r>
        <w:rPr>
          <w:rFonts w:ascii="Times New Roman" w:cs="Times New Roman" w:eastAsia="Times New Roman" w:hAnsi="Times New Roman"/>
          <w:sz w:val="26"/>
          <w:szCs w:val="26"/>
        </w:rPr>
        <w:t xml:space="preserve">5.4. Размер взносов определяется на основании приходно-расходной сметы и финансово-экономического обоснования, утверждённых общим собранием.</w:t>
      </w:r>
    </w:p>
    <w:p>
      <w:pPr>
        <w:spacing w:after="40" w:line="288"/>
        <w:jc w:val="both"/>
      </w:pPr>
      <w:r>
        <w:rPr>
          <w:rFonts w:ascii="Times New Roman" w:cs="Times New Roman" w:eastAsia="Times New Roman" w:hAnsi="Times New Roman"/>
          <w:sz w:val="26"/>
          <w:szCs w:val="26"/>
        </w:rPr>
        <w:t xml:space="preserve">5.5. Лица, ведущие садоводство без участия в Товариществе, вносят плату за приобретение, создание, содержание имущества общего пользования в размере, равном суммарному ежегодному размеру целевых и членских взносов члена Товарищества (ст. 5 Закона № 217-ФЗ).</w:t>
      </w:r>
    </w:p>
    <w:p>
      <w:pPr>
        <w:spacing w:after="40" w:line="288"/>
        <w:jc w:val="both"/>
      </w:pPr>
      <w:r>
        <w:rPr>
          <w:rFonts w:ascii="Times New Roman" w:cs="Times New Roman" w:eastAsia="Times New Roman" w:hAnsi="Times New Roman"/>
          <w:sz w:val="26"/>
          <w:szCs w:val="26"/>
        </w:rPr>
        <w:t xml:space="preserve">5.6. В случае несвоевременной уплаты взносов с должника взыскиваются пени в размере </w:t>
      </w:r>
      <w:r>
        <w:rPr>
          <w:rFonts w:ascii="Times New Roman" w:cs="Times New Roman" w:eastAsia="Times New Roman" w:hAnsi="Times New Roman"/>
          <w:sz w:val="26"/>
          <w:szCs w:val="26"/>
          <w:highlight w:val="yellow"/>
        </w:rPr>
        <w:t xml:space="preserve">[0,1]</w:t>
      </w:r>
      <w:r>
        <w:rPr>
          <w:rFonts w:ascii="Times New Roman" w:cs="Times New Roman" w:eastAsia="Times New Roman" w:hAnsi="Times New Roman"/>
          <w:sz w:val="26"/>
          <w:szCs w:val="26"/>
        </w:rPr>
        <w:t xml:space="preserve">% от суммы задолженности за каждый день просрочки, но не более </w:t>
      </w:r>
      <w:r>
        <w:rPr>
          <w:rFonts w:ascii="Times New Roman" w:cs="Times New Roman" w:eastAsia="Times New Roman" w:hAnsi="Times New Roman"/>
          <w:sz w:val="26"/>
          <w:szCs w:val="26"/>
          <w:highlight w:val="yellow"/>
        </w:rPr>
        <w:t xml:space="preserve">[__]</w:t>
      </w:r>
      <w:r>
        <w:rPr>
          <w:rFonts w:ascii="Times New Roman" w:cs="Times New Roman" w:eastAsia="Times New Roman" w:hAnsi="Times New Roman"/>
          <w:sz w:val="26"/>
          <w:szCs w:val="26"/>
        </w:rPr>
        <w:t xml:space="preserve">% от суммы долга. Взносы и пени могут быть взысканы в судебном порядке.</w:t>
      </w:r>
    </w:p>
    <w:p>
      <w:pPr>
        <w:keepNext/>
        <w:spacing w:after="100" w:before="200"/>
        <w:jc w:val="center"/>
      </w:pPr>
      <w:r>
        <w:rPr>
          <w:rFonts w:ascii="Times New Roman" w:cs="Times New Roman" w:eastAsia="Times New Roman" w:hAnsi="Times New Roman"/>
          <w:b/>
          <w:bCs/>
          <w:sz w:val="26"/>
          <w:szCs w:val="26"/>
        </w:rPr>
        <w:t xml:space="preserve">6. Органы Товарищества</w:t>
      </w:r>
    </w:p>
    <w:p>
      <w:pPr>
        <w:spacing w:after="40" w:line="288"/>
        <w:jc w:val="both"/>
      </w:pPr>
      <w:r>
        <w:rPr>
          <w:rFonts w:ascii="Times New Roman" w:cs="Times New Roman" w:eastAsia="Times New Roman" w:hAnsi="Times New Roman"/>
          <w:sz w:val="26"/>
          <w:szCs w:val="26"/>
        </w:rPr>
        <w:t xml:space="preserve">6.1. Высшим органом Товарищества является общее собрание членов. Постоянно действующий коллегиальный исполнительный орган — правление, единоличный исполнительный орган — председатель. Контрольный орган — ревизионная комиссия (ревизор).</w:t>
      </w:r>
    </w:p>
    <w:p>
      <w:pPr>
        <w:spacing w:after="40" w:line="288"/>
        <w:jc w:val="both"/>
      </w:pPr>
      <w:r>
        <w:rPr>
          <w:rFonts w:ascii="Times New Roman" w:cs="Times New Roman" w:eastAsia="Times New Roman" w:hAnsi="Times New Roman"/>
          <w:sz w:val="26"/>
          <w:szCs w:val="26"/>
        </w:rPr>
        <w:t xml:space="preserve">6.2. Председатель, члены правления, ревизионная комиссия избираются общим собранием из числа членов Товарищества тайным или открытым голосованием на срок </w:t>
      </w:r>
      <w:r>
        <w:rPr>
          <w:rFonts w:ascii="Times New Roman" w:cs="Times New Roman" w:eastAsia="Times New Roman" w:hAnsi="Times New Roman"/>
          <w:sz w:val="26"/>
          <w:szCs w:val="26"/>
          <w:highlight w:val="yellow"/>
        </w:rPr>
        <w:t xml:space="preserve">[__]</w:t>
      </w:r>
      <w:r>
        <w:rPr>
          <w:rFonts w:ascii="Times New Roman" w:cs="Times New Roman" w:eastAsia="Times New Roman" w:hAnsi="Times New Roman"/>
          <w:sz w:val="26"/>
          <w:szCs w:val="26"/>
        </w:rPr>
        <w:t xml:space="preserve"> лет (не более пяти лет) и могут переизбираться неограниченное количество раз.</w:t>
      </w:r>
    </w:p>
    <w:p>
      <w:pPr>
        <w:keepNext/>
        <w:spacing w:after="60" w:before="200"/>
      </w:pPr>
      <w:r>
        <w:rPr>
          <w:rFonts w:ascii="Times New Roman" w:cs="Times New Roman" w:eastAsia="Times New Roman" w:hAnsi="Times New Roman"/>
          <w:b/>
          <w:bCs/>
          <w:sz w:val="26"/>
          <w:szCs w:val="26"/>
        </w:rPr>
        <w:t xml:space="preserve">Общее собрание членов Товарищества</w:t>
      </w:r>
    </w:p>
    <w:p>
      <w:pPr>
        <w:spacing w:after="40" w:line="288"/>
        <w:jc w:val="both"/>
      </w:pPr>
      <w:r>
        <w:rPr>
          <w:rFonts w:ascii="Times New Roman" w:cs="Times New Roman" w:eastAsia="Times New Roman" w:hAnsi="Times New Roman"/>
          <w:sz w:val="26"/>
          <w:szCs w:val="26"/>
        </w:rPr>
        <w:t xml:space="preserve">6.3. К исключительной компетенции общего собрания относятся вопросы, перечисленные в ч. 1 ст. 17 Закона № 217-ФЗ, в том числе: изменение Устава; избрание органов и досрочное прекращение их полномочий; приём в члены и исключение; принятие решений о приобретении, создании имущества общего пользования; утверждение приходно-расходной сметы и финансово-экономического обоснования, размера и срока внесения взносов; утверждение отчётов правления и ревизионной комиссии.</w:t>
      </w:r>
    </w:p>
    <w:p>
      <w:pPr>
        <w:spacing w:after="40" w:line="288"/>
        <w:jc w:val="both"/>
      </w:pPr>
      <w:r>
        <w:rPr>
          <w:rFonts w:ascii="Times New Roman" w:cs="Times New Roman" w:eastAsia="Times New Roman" w:hAnsi="Times New Roman"/>
          <w:sz w:val="26"/>
          <w:szCs w:val="26"/>
        </w:rPr>
        <w:t xml:space="preserve">6.4. Очередное общее собрание созывается правлением по мере необходимости, но не реже одного раза в год. Внеочередное — по требованию правления, ревизионной комиссии, членов Товарищества в количестве более одной пятой от общего числа, а также органа местного самоуправления.</w:t>
      </w:r>
    </w:p>
    <w:p>
      <w:pPr>
        <w:spacing w:after="40" w:line="288"/>
        <w:jc w:val="both"/>
      </w:pPr>
      <w:r>
        <w:rPr>
          <w:rFonts w:ascii="Times New Roman" w:cs="Times New Roman" w:eastAsia="Times New Roman" w:hAnsi="Times New Roman"/>
          <w:sz w:val="26"/>
          <w:szCs w:val="26"/>
        </w:rPr>
        <w:t xml:space="preserve">6.5. Уведомление о проведении общего собрания не менее чем за две недели до дня его проведения: направляется по адресам, указанным в реестре (в том числе по электронной почте); размещается на сайте Товарищества </w:t>
      </w:r>
      <w:r>
        <w:rPr>
          <w:rFonts w:ascii="Times New Roman" w:cs="Times New Roman" w:eastAsia="Times New Roman" w:hAnsi="Times New Roman"/>
          <w:sz w:val="26"/>
          <w:szCs w:val="26"/>
          <w:highlight w:val="yellow"/>
        </w:rPr>
        <w:t xml:space="preserve">[адрес / при наличии]</w:t>
      </w:r>
      <w:r>
        <w:rPr>
          <w:rFonts w:ascii="Times New Roman" w:cs="Times New Roman" w:eastAsia="Times New Roman" w:hAnsi="Times New Roman"/>
          <w:sz w:val="26"/>
          <w:szCs w:val="26"/>
        </w:rPr>
        <w:t xml:space="preserve">; размещается на информационном щите на территории садоводства. В уведомлении указываются перечень вопросов, дата, время и место проведения, порядок ознакомления с проектами документов.</w:t>
      </w:r>
    </w:p>
    <w:p>
      <w:pPr>
        <w:spacing w:after="40" w:line="288"/>
        <w:jc w:val="both"/>
      </w:pPr>
      <w:r>
        <w:rPr>
          <w:rFonts w:ascii="Times New Roman" w:cs="Times New Roman" w:eastAsia="Times New Roman" w:hAnsi="Times New Roman"/>
          <w:sz w:val="26"/>
          <w:szCs w:val="26"/>
        </w:rPr>
        <w:t xml:space="preserve">6.6. Общее собрание правомочно, если на нём присутствует более чем пятьдесят процентов членов Товарищества или их представителей.</w:t>
      </w:r>
    </w:p>
    <w:p>
      <w:pPr>
        <w:spacing w:after="40" w:line="288"/>
        <w:jc w:val="both"/>
      </w:pPr>
      <w:r>
        <w:rPr>
          <w:rFonts w:ascii="Times New Roman" w:cs="Times New Roman" w:eastAsia="Times New Roman" w:hAnsi="Times New Roman"/>
          <w:sz w:val="26"/>
          <w:szCs w:val="26"/>
        </w:rPr>
        <w:t xml:space="preserve">6.7. Решения по вопросам, указанным в п. 1–6, 10, 17, 21–24 ч. 1 ст. 17 Закона № 217-ФЗ, принимаются квалифицированным большинством не менее двух третей голосов от общего числа присутствующих; по иным вопросам — большинством голосов от общего числа присутствующих. По вопросам, касающимся размера взносов и имущества общего пользования (п. 4–6.1, 21, 22 ч. 1 ст. 17), решения принимаются с учётом голосов лиц, ведущих садоводство без участия в Товариществе.</w:t>
      </w:r>
    </w:p>
    <w:p>
      <w:pPr>
        <w:spacing w:after="40" w:line="288"/>
        <w:jc w:val="both"/>
      </w:pPr>
      <w:r>
        <w:rPr>
          <w:rFonts w:ascii="Times New Roman" w:cs="Times New Roman" w:eastAsia="Times New Roman" w:hAnsi="Times New Roman"/>
          <w:sz w:val="26"/>
          <w:szCs w:val="26"/>
        </w:rPr>
        <w:t xml:space="preserve">6.8. Общее собрание может проводиться в очной, очно-заочной или заочной форме, в том числе с применением электронных или иных технических средств, в случаях и порядке, предусмотренных ст. 17 Закона № 217-ФЗ. Порядок проведения в заочной форме и с использованием электронных средств определяется положением, утверждаемым общим собранием.</w:t>
      </w:r>
    </w:p>
    <w:p>
      <w:pPr>
        <w:spacing w:after="40" w:line="288"/>
        <w:jc w:val="both"/>
      </w:pPr>
      <w:r>
        <w:rPr>
          <w:rFonts w:ascii="Times New Roman" w:cs="Times New Roman" w:eastAsia="Times New Roman" w:hAnsi="Times New Roman"/>
          <w:sz w:val="26"/>
          <w:szCs w:val="26"/>
        </w:rPr>
        <w:t xml:space="preserve">6.9. Решения общего собрания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принявших участие в собрании. Протокол подписывается председательствующим.</w:t>
      </w:r>
    </w:p>
    <w:p>
      <w:pPr>
        <w:keepNext/>
        <w:spacing w:after="60" w:before="200"/>
      </w:pPr>
      <w:r>
        <w:rPr>
          <w:rFonts w:ascii="Times New Roman" w:cs="Times New Roman" w:eastAsia="Times New Roman" w:hAnsi="Times New Roman"/>
          <w:b/>
          <w:bCs/>
          <w:sz w:val="26"/>
          <w:szCs w:val="26"/>
        </w:rPr>
        <w:t xml:space="preserve">Правление и председатель</w:t>
      </w:r>
    </w:p>
    <w:p>
      <w:pPr>
        <w:spacing w:after="40" w:line="288"/>
        <w:jc w:val="both"/>
      </w:pPr>
      <w:r>
        <w:rPr>
          <w:rFonts w:ascii="Times New Roman" w:cs="Times New Roman" w:eastAsia="Times New Roman" w:hAnsi="Times New Roman"/>
          <w:sz w:val="26"/>
          <w:szCs w:val="26"/>
        </w:rPr>
        <w:t xml:space="preserve">6.10. Количественный состав правления — </w:t>
      </w:r>
      <w:r>
        <w:rPr>
          <w:rFonts w:ascii="Times New Roman" w:cs="Times New Roman" w:eastAsia="Times New Roman" w:hAnsi="Times New Roman"/>
          <w:sz w:val="26"/>
          <w:szCs w:val="26"/>
          <w:highlight w:val="yellow"/>
        </w:rPr>
        <w:t xml:space="preserve">[__]</w:t>
      </w:r>
      <w:r>
        <w:rPr>
          <w:rFonts w:ascii="Times New Roman" w:cs="Times New Roman" w:eastAsia="Times New Roman" w:hAnsi="Times New Roman"/>
          <w:sz w:val="26"/>
          <w:szCs w:val="26"/>
        </w:rPr>
        <w:t xml:space="preserve"> человек, но не менее трёх человек и не более пяти процентов от общего числа членов. Заседания правления созываются председателем по мере необходимости. Правление правомочно, если на заседании присутствует не менее половины его членов. Решения принимаются открытым голосованием простым большинством голосов.</w:t>
      </w:r>
    </w:p>
    <w:p>
      <w:pPr>
        <w:spacing w:after="40" w:line="288"/>
        <w:jc w:val="both"/>
      </w:pPr>
      <w:r>
        <w:rPr>
          <w:rFonts w:ascii="Times New Roman" w:cs="Times New Roman" w:eastAsia="Times New Roman" w:hAnsi="Times New Roman"/>
          <w:sz w:val="26"/>
          <w:szCs w:val="26"/>
        </w:rPr>
        <w:t xml:space="preserve">6.11. Правление осуществляет полномочия, предусмотренные ч. 7 ст. 18 Закона № 217-ФЗ, в том числе: выполнение решений общего собрания; руководство текущей деятельностью; составление приходно-расходных смет и отчётов; обеспечение делопроизводства и ведения бухгалтерского учёта; рассмотрение заявлений членов Товарищества.</w:t>
      </w:r>
    </w:p>
    <w:p>
      <w:pPr>
        <w:spacing w:after="40" w:line="288"/>
        <w:jc w:val="both"/>
      </w:pPr>
      <w:r>
        <w:rPr>
          <w:rFonts w:ascii="Times New Roman" w:cs="Times New Roman" w:eastAsia="Times New Roman" w:hAnsi="Times New Roman"/>
          <w:sz w:val="26"/>
          <w:szCs w:val="26"/>
        </w:rPr>
        <w:t xml:space="preserve">6.12. Председатель действует без доверенности от имени Товарищества, председательствует на заседаниях правления, имеет право первой подписи под финансовыми документами, подписывает документы Товарищества, заключает сделки и открывает счета, выдаёт доверенности, осуществляет представительство Товарищества в органах власти и организациях, рассматривает заявления членов (ст. 19 Закона № 217-ФЗ).</w:t>
      </w:r>
    </w:p>
    <w:p>
      <w:pPr>
        <w:keepNext/>
        <w:spacing w:after="60" w:before="200"/>
      </w:pPr>
      <w:r>
        <w:rPr>
          <w:rFonts w:ascii="Times New Roman" w:cs="Times New Roman" w:eastAsia="Times New Roman" w:hAnsi="Times New Roman"/>
          <w:b/>
          <w:bCs/>
          <w:sz w:val="26"/>
          <w:szCs w:val="26"/>
        </w:rPr>
        <w:t xml:space="preserve">Ревизионная комиссия (ревизор)</w:t>
      </w:r>
    </w:p>
    <w:p>
      <w:pPr>
        <w:spacing w:after="40" w:line="288"/>
        <w:jc w:val="both"/>
      </w:pPr>
      <w:r>
        <w:rPr>
          <w:rFonts w:ascii="Times New Roman" w:cs="Times New Roman" w:eastAsia="Times New Roman" w:hAnsi="Times New Roman"/>
          <w:sz w:val="26"/>
          <w:szCs w:val="26"/>
        </w:rPr>
        <w:t xml:space="preserve">6.13. Ревизионная комиссия в количестве </w:t>
      </w:r>
      <w:r>
        <w:rPr>
          <w:rFonts w:ascii="Times New Roman" w:cs="Times New Roman" w:eastAsia="Times New Roman" w:hAnsi="Times New Roman"/>
          <w:sz w:val="26"/>
          <w:szCs w:val="26"/>
          <w:highlight w:val="yellow"/>
        </w:rPr>
        <w:t xml:space="preserve">[не менее трёх человек / ревизор]</w:t>
      </w:r>
      <w:r>
        <w:rPr>
          <w:rFonts w:ascii="Times New Roman" w:cs="Times New Roman" w:eastAsia="Times New Roman" w:hAnsi="Times New Roman"/>
          <w:sz w:val="26"/>
          <w:szCs w:val="26"/>
        </w:rPr>
        <w:t xml:space="preserve"> избирается общим собранием. В её состав не могут входить председатель, члены правления, их супруги и близкие родственники.</w:t>
      </w:r>
    </w:p>
    <w:p>
      <w:pPr>
        <w:spacing w:after="40" w:line="288"/>
        <w:jc w:val="both"/>
      </w:pPr>
      <w:r>
        <w:rPr>
          <w:rFonts w:ascii="Times New Roman" w:cs="Times New Roman" w:eastAsia="Times New Roman" w:hAnsi="Times New Roman"/>
          <w:sz w:val="26"/>
          <w:szCs w:val="26"/>
        </w:rPr>
        <w:t xml:space="preserve">6.14. Ревизионная комиссия проверяет выполнение правлением и председателем решений общего собрания, законность сделок, состояние имущества; осуществляет ревизию финансово-хозяйственной деятельности не реже одного раза в год; отчитывается перед общим собранием (ст. 20 Закона № 217-ФЗ).</w:t>
      </w:r>
    </w:p>
    <w:p>
      <w:pPr>
        <w:keepNext/>
        <w:spacing w:after="100" w:before="200"/>
        <w:jc w:val="center"/>
      </w:pPr>
      <w:r>
        <w:rPr>
          <w:rFonts w:ascii="Times New Roman" w:cs="Times New Roman" w:eastAsia="Times New Roman" w:hAnsi="Times New Roman"/>
          <w:b/>
          <w:bCs/>
          <w:sz w:val="26"/>
          <w:szCs w:val="26"/>
        </w:rPr>
        <w:t xml:space="preserve">7. Ведение делопроизводства. Реестр членов</w:t>
      </w:r>
    </w:p>
    <w:p>
      <w:pPr>
        <w:spacing w:after="40" w:line="288"/>
        <w:jc w:val="both"/>
      </w:pPr>
      <w:r>
        <w:rPr>
          <w:rFonts w:ascii="Times New Roman" w:cs="Times New Roman" w:eastAsia="Times New Roman" w:hAnsi="Times New Roman"/>
          <w:sz w:val="26"/>
          <w:szCs w:val="26"/>
        </w:rPr>
        <w:t xml:space="preserve">7.1. Не позднее одного месяца со дня государственной регистрации Товарищества председатель или иной уполномоченный член правления создаёт реестр членов Товарищества и осуществляет его ведение с соблюдением требований законодательства о персональных данных (ст. 15 Закона № 217-ФЗ).</w:t>
      </w:r>
    </w:p>
    <w:p>
      <w:pPr>
        <w:spacing w:after="40" w:line="288"/>
        <w:jc w:val="both"/>
      </w:pPr>
      <w:r>
        <w:rPr>
          <w:rFonts w:ascii="Times New Roman" w:cs="Times New Roman" w:eastAsia="Times New Roman" w:hAnsi="Times New Roman"/>
          <w:sz w:val="26"/>
          <w:szCs w:val="26"/>
        </w:rPr>
        <w:t xml:space="preserve">7.2. Протоколы общих собраний, заседаний правления и ревизионной комиссии хранятся в делах Товарищества не менее сорока девяти лет. Заверенные копии выписок из протоколов представляются членам Товарищества по их требованию.</w:t>
      </w:r>
    </w:p>
    <w:p>
      <w:pPr>
        <w:keepNext/>
        <w:spacing w:after="100" w:before="200"/>
        <w:jc w:val="center"/>
      </w:pPr>
      <w:r>
        <w:rPr>
          <w:rFonts w:ascii="Times New Roman" w:cs="Times New Roman" w:eastAsia="Times New Roman" w:hAnsi="Times New Roman"/>
          <w:b/>
          <w:bCs/>
          <w:sz w:val="26"/>
          <w:szCs w:val="26"/>
        </w:rPr>
        <w:t xml:space="preserve">8. Имущество Товарищества</w:t>
      </w:r>
    </w:p>
    <w:p>
      <w:pPr>
        <w:spacing w:after="40" w:line="288"/>
        <w:jc w:val="both"/>
      </w:pPr>
      <w:r>
        <w:rPr>
          <w:rFonts w:ascii="Times New Roman" w:cs="Times New Roman" w:eastAsia="Times New Roman" w:hAnsi="Times New Roman"/>
          <w:sz w:val="26"/>
          <w:szCs w:val="26"/>
        </w:rPr>
        <w:t xml:space="preserve">8.1. Имущество общего пользования, расположенное в границах территории садоводства, может принадлежать Товариществу или собственникам садовых участков на праве общей долевой собственности пропорционально площади этих участков (ст. 25 Закона № 217-ФЗ).</w:t>
      </w:r>
    </w:p>
    <w:p>
      <w:pPr>
        <w:spacing w:after="40" w:line="288"/>
        <w:jc w:val="both"/>
      </w:pPr>
      <w:r>
        <w:rPr>
          <w:rFonts w:ascii="Times New Roman" w:cs="Times New Roman" w:eastAsia="Times New Roman" w:hAnsi="Times New Roman"/>
          <w:sz w:val="26"/>
          <w:szCs w:val="26"/>
        </w:rPr>
        <w:t xml:space="preserve">8.2. Средства Товарищества формируются из взносов членов, платы лиц, ведущих садоводство без участия в Товариществе, доходов от приносящей доход деятельности и иных не запрещённых законом поступлений.</w:t>
      </w:r>
    </w:p>
    <w:p>
      <w:pPr>
        <w:keepNext/>
        <w:spacing w:after="100" w:before="200"/>
        <w:jc w:val="center"/>
      </w:pPr>
      <w:r>
        <w:rPr>
          <w:rFonts w:ascii="Times New Roman" w:cs="Times New Roman" w:eastAsia="Times New Roman" w:hAnsi="Times New Roman"/>
          <w:b/>
          <w:bCs/>
          <w:sz w:val="26"/>
          <w:szCs w:val="26"/>
        </w:rPr>
        <w:t xml:space="preserve">9. Изменение Устава. Реорганизация и ликвидация</w:t>
      </w:r>
    </w:p>
    <w:p>
      <w:pPr>
        <w:spacing w:after="40" w:line="288"/>
        <w:jc w:val="both"/>
      </w:pPr>
      <w:r>
        <w:rPr>
          <w:rFonts w:ascii="Times New Roman" w:cs="Times New Roman" w:eastAsia="Times New Roman" w:hAnsi="Times New Roman"/>
          <w:sz w:val="26"/>
          <w:szCs w:val="26"/>
        </w:rPr>
        <w:t xml:space="preserve">9.1. Изменения в Устав вносятся по решению общего собрания квалифицированным большинством не менее двух третей голосов и подлежат государственной регистрации.</w:t>
      </w:r>
    </w:p>
    <w:p>
      <w:pPr>
        <w:spacing w:after="40" w:line="288"/>
        <w:jc w:val="both"/>
      </w:pPr>
      <w:r>
        <w:rPr>
          <w:rFonts w:ascii="Times New Roman" w:cs="Times New Roman" w:eastAsia="Times New Roman" w:hAnsi="Times New Roman"/>
          <w:sz w:val="26"/>
          <w:szCs w:val="26"/>
        </w:rPr>
        <w:t xml:space="preserve">9.2. Реорганизация и ликвидация Товарищества осуществляются по решению общего собрания в порядке, установленном Гражданским кодексом РФ и Законом № 217-ФЗ. Реорганизация возможна только в форме преобразования в товарищество собственников жилья или потребительский кооператив в случаях, предусмотренных законом (ст. 26 Закона № 217-ФЗ).</w:t>
      </w:r>
    </w:p>
    <w:p>
      <w:pPr>
        <w:spacing w:after="40" w:line="288"/>
        <w:jc w:val="both"/>
      </w:pPr>
      <w:r>
        <w:rPr>
          <w:rFonts w:ascii="Times New Roman" w:cs="Times New Roman" w:eastAsia="Times New Roman" w:hAnsi="Times New Roman"/>
          <w:sz w:val="26"/>
          <w:szCs w:val="26"/>
        </w:rPr>
        <w:t xml:space="preserve">9.3. При ликвидации Товарищества имущество общего пользования, оставшееся после удовлетворения требований кредиторов, передаётся собственникам садовых земельных участков, расположенных в границах территории садоводства, пропорционально их площади, независимо от того, являлись ли они членами Товарищества (ст. 28 Закона № 217-ФЗ).</w:t>
      </w:r>
    </w:p>
    <w:p>
      <w:r>
        <w:br w:type="page"/>
      </w:r>
    </w:p>
    <w:p>
      <w:pPr>
        <w:spacing w:after="120"/>
      </w:pPr>
      <w:r>
        <w:rPr>
          <w:rFonts w:ascii="Arial" w:cs="Arial" w:eastAsia="Arial" w:hAnsi="Arial"/>
          <w:b/>
          <w:bCs/>
          <w:color w:val="1A1A1A"/>
          <w:sz w:val="30"/>
          <w:szCs w:val="30"/>
        </w:rPr>
        <w:t xml:space="preserve">Памятка к образцу</w:t>
      </w:r>
    </w:p>
    <w:p>
      <w:pPr>
        <w:spacing w:after="80" w:line="276"/>
      </w:pPr>
      <w:r>
        <w:rPr>
          <w:rFonts w:ascii="Arial" w:cs="Arial" w:eastAsia="Arial" w:hAnsi="Arial"/>
          <w:sz w:val="20"/>
          <w:szCs w:val="20"/>
        </w:rPr>
        <w:t xml:space="preserve">Эта страница — пояснения юриста, её нужно удалить перед отправкой документа. Поля, выделенные жёлтым, заполните своими данными и снимите выделение.</w:t>
      </w:r>
    </w:p>
    <w:p>
      <w:pPr>
        <w:keepNext/>
        <w:spacing w:after="80" w:before="200"/>
      </w:pPr>
      <w:r>
        <w:rPr>
          <w:rFonts w:ascii="Arial" w:cs="Arial" w:eastAsia="Arial" w:hAnsi="Arial"/>
          <w:b/>
          <w:bCs/>
          <w:color w:val="1A1A1A"/>
          <w:sz w:val="22"/>
          <w:szCs w:val="22"/>
        </w:rPr>
        <w:t xml:space="preserve">Как использовать образец</w:t>
      </w:r>
    </w:p>
    <w:p>
      <w:pPr>
        <w:pStyle w:val="ListParagraph"/>
        <w:numPr>
          <w:ilvl w:val="0"/>
          <w:numId w:val="2"/>
        </w:numPr>
        <w:spacing w:after="40" w:line="276"/>
      </w:pPr>
      <w:r>
        <w:rPr>
          <w:rFonts w:ascii="Arial" w:cs="Arial" w:eastAsia="Arial" w:hAnsi="Arial"/>
          <w:sz w:val="20"/>
          <w:szCs w:val="20"/>
        </w:rPr>
        <w:t xml:space="preserve">Это базовая редакция устава по Закону № 217-ФЗ. Перед утверждением сверьте её с действующей редакцией закона — в него регулярно вносятся изменения (порядок электронных собраний, учёт голосов индивидуальных садоводов и др.).</w:t>
      </w:r>
    </w:p>
    <w:p>
      <w:pPr>
        <w:pStyle w:val="ListParagraph"/>
        <w:numPr>
          <w:ilvl w:val="0"/>
          <w:numId w:val="2"/>
        </w:numPr>
        <w:spacing w:after="40" w:line="276"/>
      </w:pPr>
      <w:r>
        <w:rPr>
          <w:rFonts w:ascii="Arial" w:cs="Arial" w:eastAsia="Arial" w:hAnsi="Arial"/>
          <w:sz w:val="20"/>
          <w:szCs w:val="20"/>
        </w:rPr>
        <w:t xml:space="preserve">Номера пунктов ст. 17, требующие квалифицированного большинства, также проверьте по актуальной редакции.</w:t>
      </w:r>
    </w:p>
    <w:p>
      <w:pPr>
        <w:keepNext/>
        <w:spacing w:after="80" w:before="200"/>
      </w:pPr>
      <w:r>
        <w:rPr>
          <w:rFonts w:ascii="Arial" w:cs="Arial" w:eastAsia="Arial" w:hAnsi="Arial"/>
          <w:b/>
          <w:bCs/>
          <w:color w:val="1A1A1A"/>
          <w:sz w:val="22"/>
          <w:szCs w:val="22"/>
        </w:rPr>
        <w:t xml:space="preserve">Порядок принятия</w:t>
      </w:r>
    </w:p>
    <w:p>
      <w:pPr>
        <w:pStyle w:val="ListParagraph"/>
        <w:numPr>
          <w:ilvl w:val="0"/>
          <w:numId w:val="2"/>
        </w:numPr>
        <w:spacing w:after="40" w:line="276"/>
      </w:pPr>
      <w:r>
        <w:rPr>
          <w:rFonts w:ascii="Arial" w:cs="Arial" w:eastAsia="Arial" w:hAnsi="Arial"/>
          <w:sz w:val="20"/>
          <w:szCs w:val="20"/>
        </w:rPr>
        <w:t xml:space="preserve">Проект устава размещается для ознакомления не менее чем за 7 дней до общего собрания.</w:t>
      </w:r>
    </w:p>
    <w:p>
      <w:pPr>
        <w:pStyle w:val="ListParagraph"/>
        <w:numPr>
          <w:ilvl w:val="0"/>
          <w:numId w:val="2"/>
        </w:numPr>
        <w:spacing w:after="40" w:line="276"/>
      </w:pPr>
      <w:r>
        <w:rPr>
          <w:rFonts w:ascii="Arial" w:cs="Arial" w:eastAsia="Arial" w:hAnsi="Arial"/>
          <w:sz w:val="20"/>
          <w:szCs w:val="20"/>
        </w:rPr>
        <w:t xml:space="preserve">Устав утверждается общим собранием двумя третями голосов присутствующих при кворуме более 50% членов.</w:t>
      </w:r>
    </w:p>
    <w:p>
      <w:pPr>
        <w:pStyle w:val="ListParagraph"/>
        <w:numPr>
          <w:ilvl w:val="0"/>
          <w:numId w:val="2"/>
        </w:numPr>
        <w:spacing w:after="40" w:line="276"/>
      </w:pPr>
      <w:r>
        <w:rPr>
          <w:rFonts w:ascii="Arial" w:cs="Arial" w:eastAsia="Arial" w:hAnsi="Arial"/>
          <w:sz w:val="20"/>
          <w:szCs w:val="20"/>
        </w:rPr>
        <w:t xml:space="preserve">Новая редакция регистрируется в налоговой (форма Р13014, госпошлина — по действующему тарифу).</w:t>
      </w:r>
    </w:p>
    <w:p>
      <w:pPr>
        <w:keepNext/>
        <w:spacing w:after="80" w:before="200"/>
      </w:pPr>
      <w:r>
        <w:rPr>
          <w:rFonts w:ascii="Arial" w:cs="Arial" w:eastAsia="Arial" w:hAnsi="Arial"/>
          <w:b/>
          <w:bCs/>
          <w:color w:val="1A1A1A"/>
          <w:sz w:val="22"/>
          <w:szCs w:val="22"/>
        </w:rPr>
        <w:t xml:space="preserve">Частые ошибки</w:t>
      </w:r>
    </w:p>
    <w:p>
      <w:pPr>
        <w:pStyle w:val="ListParagraph"/>
        <w:numPr>
          <w:ilvl w:val="0"/>
          <w:numId w:val="2"/>
        </w:numPr>
        <w:spacing w:after="40" w:line="276"/>
      </w:pPr>
      <w:r>
        <w:rPr>
          <w:rFonts w:ascii="Arial" w:cs="Arial" w:eastAsia="Arial" w:hAnsi="Arial"/>
          <w:sz w:val="20"/>
          <w:szCs w:val="20"/>
        </w:rPr>
        <w:t xml:space="preserve">Устав не приведён в соответствие с 217-ФЗ (старые формулировки «ДНТ», «СНТ по 66-ФЗ», вступительные взносы — они запрещены).</w:t>
      </w:r>
    </w:p>
    <w:p>
      <w:pPr>
        <w:pStyle w:val="ListParagraph"/>
        <w:numPr>
          <w:ilvl w:val="0"/>
          <w:numId w:val="2"/>
        </w:numPr>
        <w:spacing w:after="40" w:line="276"/>
      </w:pPr>
      <w:r>
        <w:rPr>
          <w:rFonts w:ascii="Arial" w:cs="Arial" w:eastAsia="Arial" w:hAnsi="Arial"/>
          <w:sz w:val="20"/>
          <w:szCs w:val="20"/>
        </w:rPr>
        <w:t xml:space="preserve">Не указан порядок уведомления о собраниях и электронного голосования.</w:t>
      </w:r>
    </w:p>
    <w:p>
      <w:pPr>
        <w:pStyle w:val="ListParagraph"/>
        <w:numPr>
          <w:ilvl w:val="0"/>
          <w:numId w:val="2"/>
        </w:numPr>
        <w:spacing w:after="40" w:line="276"/>
      </w:pPr>
      <w:r>
        <w:rPr>
          <w:rFonts w:ascii="Arial" w:cs="Arial" w:eastAsia="Arial" w:hAnsi="Arial"/>
          <w:sz w:val="20"/>
          <w:szCs w:val="20"/>
        </w:rPr>
        <w:t xml:space="preserve">Пени за неуплату взносов не предусмотрены уставом — их нельзя будет взыскать.</w:t>
      </w:r>
    </w:p>
    <w:p>
      <w:pPr>
        <w:shd w:fill="FDECEC" w:color="auto" w:val="clear"/>
        <w:spacing w:after="0" w:before="280"/>
      </w:pPr>
      <w:r>
        <w:rPr>
          <w:rFonts w:ascii="Arial" w:cs="Arial" w:eastAsia="Arial" w:hAnsi="Arial"/>
          <w:b/>
          <w:bCs/>
          <w:color w:val="1A1A1A"/>
          <w:sz w:val="22"/>
          <w:szCs w:val="22"/>
        </w:rPr>
        <w:t xml:space="preserve">Нужен устав под ваше СНТ? </w:t>
      </w:r>
      <w:r>
        <w:rPr>
          <w:rFonts w:ascii="Arial" w:cs="Arial" w:eastAsia="Arial" w:hAnsi="Arial"/>
          <w:sz w:val="20"/>
          <w:szCs w:val="20"/>
        </w:rPr>
        <w:t xml:space="preserve">Юристы «Центуриона» сопровождают деятельность СНТ: разработают устав, проведут собрание без нарушений, взыщут долги по взносам и защитят в суде.</w:t>
      </w:r>
    </w:p>
    <w:sectPr>
      <w:headerReference w:type="default" r:id="rId7"/>
      <w:footerReference w:type="default" r:id="rId8"/>
      <w:pgSz w:w="11906" w:h="16838" w:orient="portrait"/>
      <w:pgMar w:top="1134" w:right="850" w:bottom="1134" w:left="1701" w:header="454" w:footer="39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0815" w:sz="4" w:space="4"/>
      </w:pBdr>
      <w:spacing w:after="40"/>
      <w:jc w:val="center"/>
    </w:pPr>
    <w:r>
      <w:rPr>
        <w:rFonts w:ascii="Arial" w:cs="Arial" w:eastAsia="Arial" w:hAnsi="Arial"/>
        <w:color w:val="6B7280"/>
        <w:sz w:val="16"/>
        <w:szCs w:val="16"/>
      </w:rPr>
      <w:t xml:space="preserve">Образец подготовлен юристами ЮК «Центурион». Проверим ваш документ бесплатно: </w:t>
    </w:r>
    <w:hyperlink w:history="1" r:id="rIdzx7xsxd-lccrb5lbx9oic">
      <w:r>
        <w:rPr>
          <w:rFonts w:ascii="Arial" w:cs="Arial" w:eastAsia="Arial" w:hAnsi="Arial"/>
          <w:b/>
          <w:bCs/>
          <w:color w:val="1A1A1A"/>
          <w:sz w:val="16"/>
          <w:szCs w:val="16"/>
        </w:rPr>
        <w:t xml:space="preserve">+7 (922) 735-62-01</w:t>
      </w:r>
    </w:hyperlink>
  </w:p>
  <w:p>
    <w:pPr>
      <w:spacing w:after="0"/>
      <w:jc w:val="center"/>
    </w:pPr>
    <w:r>
      <w:rPr>
        <w:rFonts w:ascii="Arial" w:cs="Arial" w:eastAsia="Arial" w:hAnsi="Arial"/>
        <w:color w:val="6B7280"/>
        <w:sz w:val="16"/>
        <w:szCs w:val="16"/>
      </w:rPr>
      <w:t xml:space="preserve">Сайт: </w:t>
    </w:r>
    <w:hyperlink w:history="1" r:id="rIdu6hk9er7cdv9jwxdugfqy">
      <w:r>
        <w:rPr>
          <w:rFonts w:ascii="Arial" w:cs="Arial" w:eastAsia="Arial" w:hAnsi="Arial"/>
          <w:color w:val="1A1A1A"/>
          <w:sz w:val="16"/>
          <w:szCs w:val="16"/>
          <w:u w:val="single"/>
        </w:rPr>
        <w:t xml:space="preserve">centurion74.ru</w:t>
      </w:r>
    </w:hyperlink>
    <w:r>
      <w:rPr>
        <w:rFonts w:ascii="Arial" w:cs="Arial" w:eastAsia="Arial" w:hAnsi="Arial"/>
        <w:color w:val="6B7280"/>
        <w:sz w:val="16"/>
        <w:szCs w:val="16"/>
      </w:rPr>
      <w:t xml:space="preserve">   ·   Telegram: </w:t>
    </w:r>
    <w:hyperlink w:history="1" r:id="rIddqmd229zxvc3h2ikbnxql">
      <w:r>
        <w:rPr>
          <w:rFonts w:ascii="Arial" w:cs="Arial" w:eastAsia="Arial" w:hAnsi="Arial"/>
          <w:color w:val="1A1A1A"/>
          <w:sz w:val="16"/>
          <w:szCs w:val="16"/>
          <w:u w:val="single"/>
        </w:rPr>
        <w:t xml:space="preserve">t.me/centturionlaw</w:t>
      </w:r>
    </w:hyperlink>
    <w:r>
      <w:rPr>
        <w:rFonts w:ascii="Arial" w:cs="Arial" w:eastAsia="Arial" w:hAnsi="Arial"/>
        <w:color w:val="6B7280"/>
        <w:sz w:val="16"/>
        <w:szCs w:val="16"/>
      </w:rPr>
      <w:t xml:space="preserve">   ·   Написать в </w:t>
    </w:r>
    <w:hyperlink w:history="1" r:id="rIddx6-adstw18og5h6xojff">
      <w:r>
        <w:rPr>
          <w:rFonts w:ascii="Arial" w:cs="Arial" w:eastAsia="Arial" w:hAnsi="Arial"/>
          <w:color w:val="1A1A1A"/>
          <w:sz w:val="16"/>
          <w:szCs w:val="16"/>
          <w:u w:val="single"/>
        </w:rPr>
        <w:t xml:space="preserve">МАКС</w:t>
      </w:r>
    </w:hyperlink>
    <w:r>
      <w:rPr>
        <w:rFonts w:ascii="Arial" w:cs="Arial" w:eastAsia="Arial" w:hAnsi="Arial"/>
        <w:color w:val="6B7280"/>
        <w:sz w:val="16"/>
        <w:szCs w:val="16"/>
      </w:rPr>
      <w:t xml:space="preserve">   ·   г. Челябинск, ул. Труда, 176</w:t>
    </w:r>
  </w:p>
  <w:p>
    <w:pPr>
      <w:spacing w:after="0"/>
      <w:jc w:val="right"/>
    </w:pPr>
    <w:r>
      <w:rPr>
        <w:rFonts w:ascii="Arial" w:cs="Arial" w:eastAsia="Arial" w:hAnsi="Arial"/>
        <w:color w:val="6B7280"/>
        <w:sz w:val="16"/>
        <w:szCs w:val="16"/>
      </w:rPr>
      <w:t xml:space="preserve">стр. </w:t>
    </w:r>
    <w:r>
      <w:rPr>
        <w:rFonts w:ascii="Arial" w:cs="Arial" w:eastAsia="Arial" w:hAnsi="Arial"/>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55"/>
      <w:tblBorders>
        <w:top w:val="none" w:color="FFFFFF" w:sz="0"/>
        <w:left w:val="none" w:color="FFFFFF" w:sz="0"/>
        <w:bottom w:val="none" w:color="FFFFFF" w:sz="0"/>
        <w:right w:val="none" w:color="FFFFFF" w:sz="0"/>
        <w:insideH w:val="none" w:color="FFFFFF" w:sz="0"/>
        <w:insideV w:val="none" w:color="FFFFFF" w:sz="0"/>
      </w:tblBorders>
    </w:tblPr>
    <w:tblGrid>
      <w:gridCol w:w="900"/>
      <w:gridCol w:w="3500"/>
      <w:gridCol w:w="4955"/>
    </w:tblGrid>
    <w:tr>
      <w:tc>
        <w:tcPr>
          <w:tcW w:type="dxa" w:w="900"/>
          <w:tcBorders>
            <w:top w:val="none" w:color="FFFFFF" w:sz="0"/>
            <w:left w:val="none" w:color="FFFFFF" w:sz="0"/>
            <w:bottom w:val="none" w:color="FFFFFF" w:sz="0"/>
            <w:right w:val="none" w:color="FFFFFF" w:sz="0"/>
          </w:tcBorders>
          <w:vAlign w:val="center"/>
        </w:tcPr>
        <w:p>
          <w:pPr>
            <w:spacing w:after="0"/>
          </w:pPr>
          <w:r>
            <w:drawing>
              <wp:inline distT="0" distB="0" distL="0" distR="0">
                <wp:extent cx="41910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19100" cy="476250"/>
                        </a:xfrm>
                        <a:prstGeom prst="rect">
                          <a:avLst/>
                        </a:prstGeom>
                      </pic:spPr>
                    </pic:pic>
                  </a:graphicData>
                </a:graphic>
              </wp:inline>
            </w:drawing>
          </w:r>
        </w:p>
      </w:tc>
      <w:tc>
        <w:tcPr>
          <w:tcW w:type="dxa" w:w="3500"/>
          <w:tcBorders>
            <w:top w:val="none" w:color="FFFFFF" w:sz="0"/>
            <w:left w:val="none" w:color="FFFFFF" w:sz="0"/>
            <w:bottom w:val="none" w:color="FFFFFF" w:sz="0"/>
            <w:right w:val="none" w:color="FFFFFF" w:sz="0"/>
          </w:tcBorders>
          <w:vAlign w:val="center"/>
        </w:tcPr>
        <w:p>
          <w:pPr>
            <w:spacing w:after="0"/>
          </w:pPr>
          <w:r>
            <w:rPr>
              <w:rFonts w:ascii="Georgia" w:cs="Georgia" w:eastAsia="Georgia" w:hAnsi="Georgia"/>
              <w:b/>
              <w:bCs/>
              <w:color w:val="1A1A1A"/>
              <w:spacing w:val="40"/>
              <w:sz w:val="30"/>
              <w:szCs w:val="30"/>
            </w:rPr>
            <w:t xml:space="preserve">ЦЕНТУРИОН</w:t>
          </w:r>
        </w:p>
        <w:p>
          <w:pPr>
            <w:spacing w:after="0"/>
          </w:pPr>
          <w:r>
            <w:rPr>
              <w:rFonts w:ascii="Arial" w:cs="Arial" w:eastAsia="Arial" w:hAnsi="Arial"/>
              <w:color w:val="E30815"/>
              <w:sz w:val="14"/>
              <w:szCs w:val="14"/>
            </w:rPr>
            <w:t xml:space="preserve">юридическая компания · Челябинск</w:t>
          </w:r>
        </w:p>
      </w:tc>
      <w:tc>
        <w:tcPr>
          <w:tcW w:type="dxa" w:w="4955"/>
          <w:tcBorders>
            <w:top w:val="none" w:color="FFFFFF" w:sz="0"/>
            <w:left w:val="none" w:color="FFFFFF" w:sz="0"/>
            <w:bottom w:val="none" w:color="FFFFFF" w:sz="0"/>
            <w:right w:val="none" w:color="FFFFFF" w:sz="0"/>
          </w:tcBorders>
          <w:vAlign w:val="center"/>
        </w:tcPr>
        <w:p>
          <w:pPr>
            <w:spacing w:after="0"/>
            <w:jc w:val="right"/>
          </w:pPr>
          <w:r>
            <w:rPr>
              <w:rFonts w:ascii="Arial" w:cs="Arial" w:eastAsia="Arial" w:hAnsi="Arial"/>
              <w:color w:val="6B7280"/>
              <w:sz w:val="16"/>
              <w:szCs w:val="16"/>
            </w:rPr>
            <w:t xml:space="preserve">Бесплатная консультация: </w:t>
          </w:r>
          <w:hyperlink w:history="1" r:id="rIdgkatzlwhj7lsapqqgsdnn">
            <w:r>
              <w:rPr>
                <w:rFonts w:ascii="Arial" w:cs="Arial" w:eastAsia="Arial" w:hAnsi="Arial"/>
                <w:b/>
                <w:bCs/>
                <w:color w:val="1A1A1A"/>
                <w:sz w:val="20"/>
                <w:szCs w:val="20"/>
              </w:rPr>
              <w:t xml:space="preserve">+7 (922) 735-62-01</w:t>
            </w:r>
          </w:hyperlink>
        </w:p>
        <w:p>
          <w:pPr>
            <w:spacing w:after="0"/>
            <w:jc w:val="right"/>
          </w:pPr>
          <w:r>
            <w:rPr>
              <w:rFonts w:ascii="Arial" w:cs="Arial" w:eastAsia="Arial" w:hAnsi="Arial"/>
              <w:color w:val="6B7280"/>
              <w:sz w:val="16"/>
              <w:szCs w:val="16"/>
            </w:rPr>
            <w:t xml:space="preserve">Офис: г. Челябинск, ул. Труда, 176</w:t>
          </w:r>
        </w:p>
        <w:p>
          <w:pPr>
            <w:spacing w:after="0"/>
            <w:jc w:val="right"/>
          </w:pPr>
          <w:hyperlink w:history="1" r:id="rId287d8f5nku0qgtknb4n8c">
            <w:r>
              <w:rPr>
                <w:rFonts w:ascii="Arial" w:cs="Arial" w:eastAsia="Arial" w:hAnsi="Arial"/>
                <w:color w:val="1A1A1A"/>
                <w:sz w:val="16"/>
                <w:szCs w:val="16"/>
                <w:u w:val="single"/>
              </w:rPr>
              <w:t xml:space="preserve">centurion74.ru</w:t>
            </w:r>
          </w:hyperlink>
        </w:p>
      </w:tc>
    </w:tr>
  </w:tbl>
  <w:p>
    <w:pPr>
      <w:pBdr>
        <w:bottom w:val="single" w:color="E30815" w:sz="8" w:space="1"/>
      </w:pBdr>
      <w:spacing w:after="0" w:before="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3"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4"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5"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6"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7"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8"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9" w15:restartNumberingAfterBreak="0">
    <w:multiLevelType w:val="hybridMultilevel"/>
    <w:lvl w:ilvl="0" w15:tentative="1">
      <w:start w:val="1"/>
      <w:numFmt w:val="decimal"/>
      <w:lvlText w:val="%1."/>
      <w:lvlJc w:val="left"/>
      <w:pPr>
        <w:ind w:left="709" w:hanging="360"/>
      </w:pPr>
      <w:rPr>
        <w:rFonts w:ascii="Times New Roman" w:cs="Times New Roman" w:eastAsia="Times New Roman" w:hAnsi="Times New Roman"/>
        <w:sz w:val="26"/>
        <w:szCs w:val="26"/>
      </w:rPr>
    </w:lvl>
  </w:abstractNum>
  <w:abstractNum w:abstractNumId="10" w15:restartNumberingAfterBreak="0">
    <w:multiLevelType w:val="hybridMultilevel"/>
    <w:lvl w:ilvl="0" w15:tentative="1">
      <w:start w:val="1"/>
      <w:numFmt w:val="bullet"/>
      <w:lvlText w:val="–"/>
      <w:lvlJc w:val="left"/>
      <w:pPr>
        <w:ind w:left="709" w:hanging="283"/>
      </w:pPr>
    </w:lvl>
  </w:abstractNum>
  <w:num w:numId="1">
    <w:abstractNumId w:val="1"/>
    <w:lvlOverride w:ilvl="0">
      <w:startOverride w:val="1"/>
    </w:lvlOverride>
  </w:num>
  <w:num w:numId="2">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7xsxd-lccrb5lbx9oic" Type="http://schemas.openxmlformats.org/officeDocument/2006/relationships/hyperlink" Target="tel:+79227356201" TargetMode="External"/><Relationship Id="rIdu6hk9er7cdv9jwxdugfqy" Type="http://schemas.openxmlformats.org/officeDocument/2006/relationships/hyperlink" Target="https://centurion74.ru" TargetMode="External"/><Relationship Id="rIddqmd229zxvc3h2ikbnxql" Type="http://schemas.openxmlformats.org/officeDocument/2006/relationships/hyperlink" Target="https://t.me/centturionlaw" TargetMode="External"/><Relationship Id="rIddx6-adstw18og5h6xojff" Type="http://schemas.openxmlformats.org/officeDocument/2006/relationships/hyperlink" Target="https://max.ru/join/0kOVUC4YawOKb2NaivuhgL20VaggnFTHJPoypE-Rp7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gkatzlwhj7lsapqqgsdnn" Type="http://schemas.openxmlformats.org/officeDocument/2006/relationships/hyperlink" Target="tel:+79227356201" TargetMode="External"/><Relationship Id="rId287d8f5nku0qgtknb4n8c" Type="http://schemas.openxmlformats.org/officeDocument/2006/relationships/hyperlink" Target="https://centurion74.ru" TargetMode="External"/><Relationship Id="rId0" Type="http://schemas.openxmlformats.org/officeDocument/2006/relationships/image" Target="media/6221fd3a12740e9debbee314ad6ec0927e7a6e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садоводческого некоммерческого товарищества (СНТ) по 217-ФЗ — образец</dc:title>
  <dc:creator>ЮК «Центурион»</dc:creator>
  <dc:description>Устав садоводческого некоммерческого товарищества (СНТ) по 217-ФЗ. Образец от юридической компании «Центурион», Челябинск, centurion74.ru</dc:description>
  <cp:lastModifiedBy>Un-named</cp:lastModifiedBy>
  <cp:revision>1</cp:revision>
  <dcterms:created xsi:type="dcterms:W3CDTF">2026-09-25T11:52:59.430Z</dcterms:created>
  <dcterms:modified xsi:type="dcterms:W3CDTF">2026-09-25T11:52:59.431Z</dcterms:modified>
</cp:coreProperties>
</file>

<file path=docProps/custom.xml><?xml version="1.0" encoding="utf-8"?>
<Properties xmlns="http://schemas.openxmlformats.org/officeDocument/2006/custom-properties" xmlns:vt="http://schemas.openxmlformats.org/officeDocument/2006/docPropsVTypes"/>
</file>